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1" w:rsidRDefault="00171AD1" w:rsidP="00055BFB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4"/>
          <w:szCs w:val="24"/>
          <w:u w:val="single"/>
        </w:rPr>
      </w:pPr>
      <w:r w:rsidRPr="00171AD1">
        <w:rPr>
          <w:rFonts w:ascii="Century Gothic" w:eastAsia="Times New Roman" w:hAnsi="Century Gothic" w:cs="Times New Roman"/>
          <w:b/>
          <w:bCs/>
          <w:noProof/>
          <w:kern w:val="36"/>
          <w:sz w:val="24"/>
          <w:szCs w:val="24"/>
          <w:u w:val="single"/>
        </w:rPr>
        <w:drawing>
          <wp:inline distT="0" distB="0" distL="0" distR="0">
            <wp:extent cx="2809875" cy="1143000"/>
            <wp:effectExtent l="0" t="0" r="9525" b="0"/>
            <wp:docPr id="2" name="Picture 2" descr="Description: C:\Documents and Settings\User\Desktop\mt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User\Desktop\mti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1F" w:rsidRPr="00171AD1" w:rsidRDefault="00171AD1" w:rsidP="00055BFB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4"/>
          <w:szCs w:val="24"/>
          <w:u w:val="single"/>
        </w:rPr>
      </w:pPr>
      <w:r w:rsidRPr="00171AD1">
        <w:rPr>
          <w:rFonts w:ascii="Century Gothic" w:eastAsia="Times New Roman" w:hAnsi="Century Gothic" w:cs="Times New Roman"/>
          <w:b/>
          <w:bCs/>
          <w:kern w:val="36"/>
          <w:sz w:val="24"/>
          <w:szCs w:val="24"/>
          <w:u w:val="single"/>
        </w:rPr>
        <w:t>EXAMINATIONS POLICY</w:t>
      </w:r>
    </w:p>
    <w:p w:rsidR="00055BFB" w:rsidRPr="009F351F" w:rsidRDefault="00055BFB" w:rsidP="00055BFB">
      <w:pPr>
        <w:spacing w:line="360" w:lineRule="auto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71AD1">
        <w:rPr>
          <w:rFonts w:ascii="Century Gothic" w:hAnsi="Century Gothic"/>
          <w:b/>
          <w:sz w:val="24"/>
          <w:szCs w:val="24"/>
          <w:u w:val="single"/>
        </w:rPr>
        <w:t xml:space="preserve">PROFESSIONAL MEDIATOR CERTIFICATION FINAL EXAMINATION </w:t>
      </w:r>
    </w:p>
    <w:p w:rsidR="009C01AF" w:rsidRPr="00171AD1" w:rsidRDefault="009C01A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hAnsi="Century Gothic"/>
          <w:b/>
          <w:bCs/>
          <w:i/>
          <w:iCs/>
          <w:sz w:val="24"/>
          <w:szCs w:val="24"/>
        </w:rPr>
        <w:t>Successful completion of t</w:t>
      </w:r>
      <w:r w:rsidR="00055BFB" w:rsidRPr="00171AD1">
        <w:rPr>
          <w:rFonts w:ascii="Century Gothic" w:hAnsi="Century Gothic"/>
          <w:b/>
          <w:bCs/>
          <w:i/>
          <w:iCs/>
          <w:sz w:val="24"/>
          <w:szCs w:val="24"/>
        </w:rPr>
        <w:t>he exam is a pre-requisite for C</w:t>
      </w:r>
      <w:r w:rsidRPr="00171AD1">
        <w:rPr>
          <w:rFonts w:ascii="Century Gothic" w:hAnsi="Century Gothic"/>
          <w:b/>
          <w:bCs/>
          <w:i/>
          <w:iCs/>
          <w:sz w:val="24"/>
          <w:szCs w:val="24"/>
        </w:rPr>
        <w:t xml:space="preserve">ertification as a </w:t>
      </w:r>
      <w:r w:rsidR="00055BFB" w:rsidRPr="00171AD1">
        <w:rPr>
          <w:rFonts w:ascii="Century Gothic" w:hAnsi="Century Gothic"/>
          <w:b/>
          <w:bCs/>
          <w:i/>
          <w:iCs/>
          <w:sz w:val="24"/>
          <w:szCs w:val="24"/>
        </w:rPr>
        <w:t>P</w:t>
      </w:r>
      <w:r w:rsidR="002809B8" w:rsidRPr="00171AD1">
        <w:rPr>
          <w:rFonts w:ascii="Century Gothic" w:hAnsi="Century Gothic"/>
          <w:b/>
          <w:bCs/>
          <w:i/>
          <w:iCs/>
          <w:sz w:val="24"/>
          <w:szCs w:val="24"/>
        </w:rPr>
        <w:t>rofessional</w:t>
      </w:r>
      <w:r w:rsidR="00055BFB" w:rsidRPr="00171AD1">
        <w:rPr>
          <w:rFonts w:ascii="Century Gothic" w:hAnsi="Century Gothic"/>
          <w:b/>
          <w:bCs/>
          <w:i/>
          <w:iCs/>
          <w:sz w:val="24"/>
          <w:szCs w:val="24"/>
        </w:rPr>
        <w:t xml:space="preserve"> M</w:t>
      </w:r>
      <w:r w:rsidRPr="00171AD1">
        <w:rPr>
          <w:rFonts w:ascii="Century Gothic" w:hAnsi="Century Gothic"/>
          <w:b/>
          <w:bCs/>
          <w:i/>
          <w:iCs/>
          <w:sz w:val="24"/>
          <w:szCs w:val="24"/>
        </w:rPr>
        <w:t xml:space="preserve">ediator 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b/>
          <w:bCs/>
          <w:sz w:val="24"/>
          <w:szCs w:val="24"/>
        </w:rPr>
        <w:t>Core Values</w:t>
      </w:r>
    </w:p>
    <w:p w:rsidR="009F351F" w:rsidRPr="009F351F" w:rsidRDefault="00055BFB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sz w:val="24"/>
          <w:szCs w:val="24"/>
        </w:rPr>
        <w:t>The professional mediation Examinations</w:t>
      </w:r>
      <w:r w:rsidR="009F351F" w:rsidRPr="009F351F">
        <w:rPr>
          <w:rFonts w:ascii="Century Gothic" w:eastAsia="Times New Roman" w:hAnsi="Century Gothic" w:cs="Times New Roman"/>
          <w:sz w:val="24"/>
          <w:szCs w:val="24"/>
        </w:rPr>
        <w:t xml:space="preserve"> promotes the following core values.</w:t>
      </w:r>
    </w:p>
    <w:p w:rsidR="009F351F" w:rsidRPr="009F351F" w:rsidRDefault="009F351F" w:rsidP="009F3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>Integrity</w:t>
      </w:r>
    </w:p>
    <w:p w:rsidR="009F351F" w:rsidRPr="009F351F" w:rsidRDefault="009F351F" w:rsidP="009F3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>Professionalism</w:t>
      </w:r>
    </w:p>
    <w:p w:rsidR="009F351F" w:rsidRPr="009F351F" w:rsidRDefault="009F351F" w:rsidP="009F3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>A spirit of continuous improvement</w:t>
      </w:r>
    </w:p>
    <w:p w:rsidR="009F351F" w:rsidRPr="009F351F" w:rsidRDefault="00055BFB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sz w:val="24"/>
          <w:szCs w:val="24"/>
        </w:rPr>
        <w:t>The professional mediation Examination shall</w:t>
      </w:r>
      <w:r w:rsidR="009F351F" w:rsidRPr="009F351F">
        <w:rPr>
          <w:rFonts w:ascii="Century Gothic" w:eastAsia="Times New Roman" w:hAnsi="Century Gothic" w:cs="Times New Roman"/>
          <w:sz w:val="24"/>
          <w:szCs w:val="24"/>
        </w:rPr>
        <w:t xml:space="preserve"> be graded out of 100 marks and the pass mark shall be </w:t>
      </w:r>
      <w:r w:rsidRPr="00171AD1">
        <w:rPr>
          <w:rFonts w:ascii="Century Gothic" w:eastAsia="Times New Roman" w:hAnsi="Century Gothic" w:cs="Times New Roman"/>
          <w:sz w:val="24"/>
          <w:szCs w:val="24"/>
        </w:rPr>
        <w:t>4</w:t>
      </w:r>
      <w:r w:rsidR="009F351F" w:rsidRPr="009F351F">
        <w:rPr>
          <w:rFonts w:ascii="Century Gothic" w:eastAsia="Times New Roman" w:hAnsi="Century Gothic" w:cs="Times New Roman"/>
          <w:sz w:val="24"/>
          <w:szCs w:val="24"/>
        </w:rPr>
        <w:t>0 marks, unless stated otherwise. The marks are translated into letter grades as follows: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b/>
          <w:bCs/>
          <w:sz w:val="24"/>
          <w:szCs w:val="24"/>
        </w:rPr>
        <w:t>Undergraduate Courses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67"/>
        <w:gridCol w:w="196"/>
        <w:gridCol w:w="6"/>
      </w:tblGrid>
      <w:tr w:rsidR="009F351F" w:rsidRPr="009F351F" w:rsidTr="009F351F">
        <w:trPr>
          <w:tblCellSpacing w:w="0" w:type="dxa"/>
        </w:trPr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70% to 100%</w:t>
            </w:r>
          </w:p>
        </w:tc>
        <w:tc>
          <w:tcPr>
            <w:tcW w:w="0" w:type="auto"/>
            <w:gridSpan w:val="2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A</w:t>
            </w:r>
          </w:p>
          <w:p w:rsidR="009F351F" w:rsidRPr="009F351F" w:rsidRDefault="009F351F" w:rsidP="009F351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</w:tr>
      <w:tr w:rsidR="009F351F" w:rsidRPr="009F351F" w:rsidTr="009F351F">
        <w:trPr>
          <w:tblCellSpacing w:w="0" w:type="dxa"/>
        </w:trPr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60% to below 70%</w:t>
            </w:r>
          </w:p>
        </w:tc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B</w:t>
            </w:r>
          </w:p>
          <w:p w:rsidR="009F351F" w:rsidRPr="009F351F" w:rsidRDefault="009F351F" w:rsidP="009F351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9F351F" w:rsidRPr="009F351F" w:rsidTr="009F351F">
        <w:trPr>
          <w:tblCellSpacing w:w="0" w:type="dxa"/>
        </w:trPr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50% to below 60%</w:t>
            </w:r>
          </w:p>
        </w:tc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C</w:t>
            </w:r>
          </w:p>
          <w:p w:rsidR="009F351F" w:rsidRPr="009F351F" w:rsidRDefault="009F351F" w:rsidP="009F351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9F351F" w:rsidRPr="009F351F" w:rsidTr="009F351F">
        <w:trPr>
          <w:tblCellSpacing w:w="0" w:type="dxa"/>
        </w:trPr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40% to below 50%</w:t>
            </w:r>
          </w:p>
        </w:tc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D</w:t>
            </w:r>
          </w:p>
          <w:p w:rsidR="009F351F" w:rsidRPr="009F351F" w:rsidRDefault="009F351F" w:rsidP="009F351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9F351F" w:rsidRPr="009F351F" w:rsidTr="009F351F">
        <w:trPr>
          <w:tblCellSpacing w:w="0" w:type="dxa"/>
        </w:trPr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Below 40%</w:t>
            </w:r>
          </w:p>
        </w:tc>
        <w:tc>
          <w:tcPr>
            <w:tcW w:w="0" w:type="auto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E</w:t>
            </w:r>
          </w:p>
          <w:p w:rsidR="009F351F" w:rsidRPr="009F351F" w:rsidRDefault="009F351F" w:rsidP="009F351F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F351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351F" w:rsidRPr="009F351F" w:rsidRDefault="009F351F" w:rsidP="009F351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Retake and Repeat Examinations</w:t>
      </w:r>
    </w:p>
    <w:p w:rsidR="001C18CD" w:rsidRDefault="009F351F" w:rsidP="009F3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A </w:t>
      </w:r>
      <w:r w:rsidR="00055BF9" w:rsidRPr="00171AD1">
        <w:rPr>
          <w:rFonts w:ascii="Century Gothic" w:eastAsia="Times New Roman" w:hAnsi="Century Gothic" w:cs="Times New Roman"/>
          <w:sz w:val="24"/>
          <w:szCs w:val="24"/>
        </w:rPr>
        <w:t xml:space="preserve">Participant, </w:t>
      </w:r>
      <w:r w:rsidR="00055BF9" w:rsidRPr="009F351F">
        <w:rPr>
          <w:rFonts w:ascii="Century Gothic" w:eastAsia="Times New Roman" w:hAnsi="Century Gothic" w:cs="Times New Roman"/>
          <w:sz w:val="24"/>
          <w:szCs w:val="24"/>
        </w:rPr>
        <w:t>who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fails in </w:t>
      </w:r>
      <w:r w:rsidR="00055BFB" w:rsidRPr="00171AD1">
        <w:rPr>
          <w:rFonts w:ascii="Century Gothic" w:eastAsia="Times New Roman" w:hAnsi="Century Gothic" w:cs="Times New Roman"/>
          <w:sz w:val="24"/>
          <w:szCs w:val="24"/>
        </w:rPr>
        <w:t xml:space="preserve">the </w:t>
      </w:r>
      <w:r w:rsidR="00055BF9" w:rsidRPr="00171AD1">
        <w:rPr>
          <w:rFonts w:ascii="Century Gothic" w:eastAsia="Times New Roman" w:hAnsi="Century Gothic" w:cs="Times New Roman"/>
          <w:sz w:val="24"/>
          <w:szCs w:val="24"/>
        </w:rPr>
        <w:t xml:space="preserve">aforementioned </w:t>
      </w:r>
      <w:r w:rsidR="00055BF9" w:rsidRPr="009F351F">
        <w:rPr>
          <w:rFonts w:ascii="Century Gothic" w:eastAsia="Times New Roman" w:hAnsi="Century Gothic" w:cs="Times New Roman"/>
          <w:sz w:val="24"/>
          <w:szCs w:val="24"/>
        </w:rPr>
        <w:t>examination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, shall be allowed to apply to the </w:t>
      </w:r>
      <w:r w:rsidR="000228E4" w:rsidRPr="00171AD1">
        <w:rPr>
          <w:rFonts w:ascii="Century Gothic" w:eastAsia="Times New Roman" w:hAnsi="Century Gothic" w:cs="Times New Roman"/>
          <w:sz w:val="24"/>
          <w:szCs w:val="24"/>
        </w:rPr>
        <w:t xml:space="preserve">examination </w:t>
      </w:r>
      <w:r w:rsidR="00055BF9" w:rsidRPr="00171AD1">
        <w:rPr>
          <w:rFonts w:ascii="Century Gothic" w:eastAsia="Times New Roman" w:hAnsi="Century Gothic" w:cs="Times New Roman"/>
          <w:sz w:val="24"/>
          <w:szCs w:val="24"/>
        </w:rPr>
        <w:t xml:space="preserve">board </w:t>
      </w:r>
      <w:r w:rsidR="00055BF9" w:rsidRPr="009F351F">
        <w:rPr>
          <w:rFonts w:ascii="Century Gothic" w:eastAsia="Times New Roman" w:hAnsi="Century Gothic" w:cs="Times New Roman"/>
          <w:sz w:val="24"/>
          <w:szCs w:val="24"/>
        </w:rPr>
        <w:t>for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retake examination</w:t>
      </w:r>
      <w:r w:rsidR="001C18CD">
        <w:rPr>
          <w:rFonts w:ascii="Century Gothic" w:eastAsia="Times New Roman" w:hAnsi="Century Gothic" w:cs="Times New Roman"/>
          <w:sz w:val="24"/>
          <w:szCs w:val="24"/>
        </w:rPr>
        <w:t>.</w:t>
      </w:r>
    </w:p>
    <w:p w:rsidR="009F351F" w:rsidRPr="009F351F" w:rsidRDefault="009F351F" w:rsidP="001C18CD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Such a candidate shall app</w:t>
      </w:r>
      <w:r w:rsidR="001C18CD">
        <w:rPr>
          <w:rFonts w:ascii="Century Gothic" w:eastAsia="Times New Roman" w:hAnsi="Century Gothic" w:cs="Times New Roman"/>
          <w:sz w:val="24"/>
          <w:szCs w:val="24"/>
        </w:rPr>
        <w:t>ly for the retake examination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within a period of not more than 14 days inclusive of Saturday and Sunday after the candidate has been notified of the result. A c</w:t>
      </w:r>
      <w:r w:rsidR="001C18CD">
        <w:rPr>
          <w:rFonts w:ascii="Century Gothic" w:eastAsia="Times New Roman" w:hAnsi="Century Gothic" w:cs="Times New Roman"/>
          <w:sz w:val="24"/>
          <w:szCs w:val="24"/>
        </w:rPr>
        <w:t xml:space="preserve">andidate for retake examination 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>shall be required to register and pay the prescribed f</w:t>
      </w:r>
      <w:r w:rsidR="001C18CD">
        <w:rPr>
          <w:rFonts w:ascii="Century Gothic" w:eastAsia="Times New Roman" w:hAnsi="Century Gothic" w:cs="Times New Roman"/>
          <w:sz w:val="24"/>
          <w:szCs w:val="24"/>
        </w:rPr>
        <w:t>ee for the retake examination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after being notified of the success of his/her application but not later than one month before the date of the retake examination.</w:t>
      </w:r>
    </w:p>
    <w:p w:rsidR="009F351F" w:rsidRPr="009F351F" w:rsidRDefault="009F351F" w:rsidP="009F35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>The maximum marks in a retake examination shall be 40%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b/>
          <w:bCs/>
          <w:sz w:val="24"/>
          <w:szCs w:val="24"/>
        </w:rPr>
        <w:t>Appeal for Re-assessment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A candidate who is not satisfied with the grade, which he/she has been awarded in </w:t>
      </w:r>
      <w:r w:rsidR="000228E4" w:rsidRPr="00171AD1">
        <w:rPr>
          <w:rFonts w:ascii="Century Gothic" w:eastAsia="Times New Roman" w:hAnsi="Century Gothic" w:cs="Times New Roman"/>
          <w:sz w:val="24"/>
          <w:szCs w:val="24"/>
        </w:rPr>
        <w:t xml:space="preserve">the examination 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, may appeal to the </w:t>
      </w:r>
      <w:r w:rsidR="000228E4" w:rsidRPr="00171AD1">
        <w:rPr>
          <w:rFonts w:ascii="Century Gothic" w:eastAsia="Times New Roman" w:hAnsi="Century Gothic" w:cs="Times New Roman"/>
          <w:sz w:val="24"/>
          <w:szCs w:val="24"/>
        </w:rPr>
        <w:t xml:space="preserve">examination board 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for a re-marking of the written examination paper upon payment of the appropriate fee, which shall be determined by the </w:t>
      </w:r>
      <w:r w:rsidR="000228E4" w:rsidRPr="00171AD1">
        <w:rPr>
          <w:rFonts w:ascii="Century Gothic" w:eastAsia="Times New Roman" w:hAnsi="Century Gothic" w:cs="Times New Roman"/>
          <w:sz w:val="24"/>
          <w:szCs w:val="24"/>
        </w:rPr>
        <w:t xml:space="preserve">board 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from time to time. The grade and mark recommended by the examiner(s) after remarking shall be the final grade and mark awarded to the candidate for the unit.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No appeal for re-marking of </w:t>
      </w:r>
      <w:r w:rsidR="004C0AFB" w:rsidRPr="00171AD1">
        <w:rPr>
          <w:rFonts w:ascii="Century Gothic" w:eastAsia="Times New Roman" w:hAnsi="Century Gothic" w:cs="Times New Roman"/>
          <w:sz w:val="24"/>
          <w:szCs w:val="24"/>
        </w:rPr>
        <w:t>the examination shall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be entertained in cases where the appeal has been submitted later than </w:t>
      </w:r>
      <w:r w:rsidRPr="00171AD1">
        <w:rPr>
          <w:rFonts w:ascii="Century Gothic" w:eastAsia="Times New Roman" w:hAnsi="Century Gothic" w:cs="Times New Roman"/>
          <w:b/>
          <w:bCs/>
          <w:sz w:val="24"/>
          <w:szCs w:val="24"/>
        </w:rPr>
        <w:t>fourteen</w:t>
      </w:r>
      <w:r w:rsidRPr="009F351F">
        <w:rPr>
          <w:rFonts w:ascii="Century Gothic" w:eastAsia="Times New Roman" w:hAnsi="Century Gothic" w:cs="Times New Roman"/>
          <w:sz w:val="24"/>
          <w:szCs w:val="24"/>
        </w:rPr>
        <w:t xml:space="preserve"> calendar days after the candidate has been notified of the result.</w:t>
      </w:r>
    </w:p>
    <w:p w:rsidR="003F15F3" w:rsidRDefault="004C0AFB" w:rsidP="003F15F3">
      <w:pPr>
        <w:rPr>
          <w:rFonts w:ascii="Century Gothic" w:hAnsi="Century Gothic" w:cs="Arial"/>
          <w:sz w:val="24"/>
          <w:szCs w:val="24"/>
        </w:rPr>
      </w:pPr>
      <w:r w:rsidRPr="00171AD1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3F15F3">
        <w:rPr>
          <w:rFonts w:ascii="Century Gothic" w:hAnsi="Century Gothic" w:cs="Arial"/>
          <w:sz w:val="24"/>
          <w:szCs w:val="24"/>
        </w:rPr>
        <w:t xml:space="preserve">For further information, contact our program officers </w:t>
      </w:r>
      <w:r w:rsidR="003F15F3">
        <w:rPr>
          <w:rFonts w:ascii="Century Gothic" w:hAnsi="Century Gothic" w:cs="Arial"/>
          <w:b/>
          <w:sz w:val="24"/>
          <w:szCs w:val="24"/>
        </w:rPr>
        <w:t>Hesbon</w:t>
      </w:r>
      <w:r w:rsidR="003F15F3">
        <w:rPr>
          <w:rFonts w:ascii="Century Gothic" w:hAnsi="Century Gothic" w:cs="Arial"/>
          <w:sz w:val="24"/>
          <w:szCs w:val="24"/>
        </w:rPr>
        <w:t xml:space="preserve"> Peterson </w:t>
      </w:r>
      <w:r w:rsidR="003F15F3">
        <w:rPr>
          <w:rFonts w:ascii="Century Gothic" w:hAnsi="Century Gothic" w:cs="Arial"/>
          <w:b/>
          <w:sz w:val="24"/>
          <w:szCs w:val="24"/>
        </w:rPr>
        <w:t>+</w:t>
      </w:r>
      <w:r w:rsidR="00385607">
        <w:rPr>
          <w:rFonts w:ascii="Century Gothic" w:hAnsi="Century Gothic" w:cs="Arial"/>
          <w:b/>
          <w:sz w:val="24"/>
          <w:szCs w:val="24"/>
        </w:rPr>
        <w:t>254714390371</w:t>
      </w:r>
      <w:r w:rsidR="00385607">
        <w:rPr>
          <w:rFonts w:ascii="Century Gothic" w:hAnsi="Century Gothic" w:cs="Arial"/>
          <w:sz w:val="24"/>
          <w:szCs w:val="24"/>
        </w:rPr>
        <w:t xml:space="preserve"> and</w:t>
      </w:r>
      <w:r w:rsidR="003F15F3">
        <w:rPr>
          <w:rFonts w:ascii="Century Gothic" w:hAnsi="Century Gothic" w:cs="Arial"/>
          <w:sz w:val="24"/>
          <w:szCs w:val="24"/>
        </w:rPr>
        <w:t xml:space="preserve"> </w:t>
      </w:r>
      <w:r w:rsidR="003F15F3">
        <w:rPr>
          <w:rFonts w:ascii="Century Gothic" w:hAnsi="Century Gothic" w:cs="Arial"/>
          <w:b/>
          <w:sz w:val="24"/>
          <w:szCs w:val="24"/>
        </w:rPr>
        <w:t>Emma Oyando</w:t>
      </w:r>
      <w:r w:rsidR="003F15F3">
        <w:rPr>
          <w:rFonts w:ascii="Century Gothic" w:hAnsi="Century Gothic" w:cs="Arial"/>
          <w:sz w:val="24"/>
          <w:szCs w:val="24"/>
        </w:rPr>
        <w:t xml:space="preserve"> </w:t>
      </w:r>
      <w:r w:rsidR="003F15F3">
        <w:rPr>
          <w:rFonts w:ascii="Century Gothic" w:hAnsi="Century Gothic" w:cs="Arial"/>
          <w:b/>
          <w:sz w:val="24"/>
          <w:szCs w:val="24"/>
        </w:rPr>
        <w:t>+254725538320</w:t>
      </w:r>
    </w:p>
    <w:p w:rsidR="009F351F" w:rsidRPr="009F351F" w:rsidRDefault="009F351F" w:rsidP="009F35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16444A" w:rsidRPr="00171AD1" w:rsidRDefault="0016444A">
      <w:pPr>
        <w:rPr>
          <w:rFonts w:ascii="Century Gothic" w:hAnsi="Century Gothic"/>
          <w:sz w:val="24"/>
          <w:szCs w:val="24"/>
        </w:rPr>
      </w:pPr>
    </w:p>
    <w:sectPr w:rsidR="0016444A" w:rsidRPr="00171AD1" w:rsidSect="001644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D1" w:rsidRDefault="005227D1" w:rsidP="00055BF9">
      <w:pPr>
        <w:spacing w:after="0" w:line="240" w:lineRule="auto"/>
      </w:pPr>
      <w:r>
        <w:separator/>
      </w:r>
    </w:p>
  </w:endnote>
  <w:endnote w:type="continuationSeparator" w:id="1">
    <w:p w:rsidR="005227D1" w:rsidRDefault="005227D1" w:rsidP="000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4898"/>
      <w:docPartObj>
        <w:docPartGallery w:val="Page Numbers (Bottom of Page)"/>
        <w:docPartUnique/>
      </w:docPartObj>
    </w:sdtPr>
    <w:sdtContent>
      <w:p w:rsidR="00055BF9" w:rsidRDefault="006E69E6">
        <w:pPr>
          <w:pStyle w:val="Footer"/>
          <w:jc w:val="center"/>
        </w:pPr>
        <w:fldSimple w:instr=" PAGE   \* MERGEFORMAT ">
          <w:r w:rsidR="001C18CD">
            <w:rPr>
              <w:noProof/>
            </w:rPr>
            <w:t>2</w:t>
          </w:r>
        </w:fldSimple>
      </w:p>
    </w:sdtContent>
  </w:sdt>
  <w:p w:rsidR="00055BF9" w:rsidRDefault="00055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D1" w:rsidRDefault="005227D1" w:rsidP="00055BF9">
      <w:pPr>
        <w:spacing w:after="0" w:line="240" w:lineRule="auto"/>
      </w:pPr>
      <w:r>
        <w:separator/>
      </w:r>
    </w:p>
  </w:footnote>
  <w:footnote w:type="continuationSeparator" w:id="1">
    <w:p w:rsidR="005227D1" w:rsidRDefault="005227D1" w:rsidP="0005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B23E5"/>
    <w:multiLevelType w:val="multilevel"/>
    <w:tmpl w:val="E4EC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C5DA8"/>
    <w:multiLevelType w:val="multilevel"/>
    <w:tmpl w:val="8624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51F"/>
    <w:rsid w:val="000228E4"/>
    <w:rsid w:val="00055BF9"/>
    <w:rsid w:val="00055BFB"/>
    <w:rsid w:val="000A4696"/>
    <w:rsid w:val="0016444A"/>
    <w:rsid w:val="00171AD1"/>
    <w:rsid w:val="001C18CD"/>
    <w:rsid w:val="002809B8"/>
    <w:rsid w:val="002E3582"/>
    <w:rsid w:val="00385607"/>
    <w:rsid w:val="003F15F3"/>
    <w:rsid w:val="004C0AFB"/>
    <w:rsid w:val="005227D1"/>
    <w:rsid w:val="006E69E6"/>
    <w:rsid w:val="00994314"/>
    <w:rsid w:val="009C01AF"/>
    <w:rsid w:val="009F351F"/>
    <w:rsid w:val="00A053D9"/>
    <w:rsid w:val="00A202D3"/>
    <w:rsid w:val="00C141C3"/>
    <w:rsid w:val="00D73E64"/>
    <w:rsid w:val="00DA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A"/>
  </w:style>
  <w:style w:type="paragraph" w:styleId="Heading1">
    <w:name w:val="heading 1"/>
    <w:basedOn w:val="Normal"/>
    <w:link w:val="Heading1Char"/>
    <w:uiPriority w:val="9"/>
    <w:qFormat/>
    <w:rsid w:val="009F3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"/>
    <w:basedOn w:val="TableNormal"/>
    <w:uiPriority w:val="59"/>
    <w:rsid w:val="000A46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87" w:space="0" w:color="auto"/>
        <w:left w:val="single" w:sz="87" w:space="0" w:color="auto"/>
        <w:bottom w:val="single" w:sz="87" w:space="0" w:color="auto"/>
        <w:right w:val="single" w:sz="87" w:space="0" w:color="auto"/>
        <w:insideH w:val="single" w:sz="87" w:space="0" w:color="auto"/>
        <w:insideV w:val="single" w:sz="87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9F35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35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BF9"/>
  </w:style>
  <w:style w:type="paragraph" w:styleId="Footer">
    <w:name w:val="footer"/>
    <w:basedOn w:val="Normal"/>
    <w:link w:val="FooterChar"/>
    <w:uiPriority w:val="99"/>
    <w:unhideWhenUsed/>
    <w:rsid w:val="0005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Mangerere</dc:creator>
  <cp:lastModifiedBy>Mr Mangerere</cp:lastModifiedBy>
  <cp:revision>6</cp:revision>
  <dcterms:created xsi:type="dcterms:W3CDTF">2019-07-15T18:44:00Z</dcterms:created>
  <dcterms:modified xsi:type="dcterms:W3CDTF">2019-07-18T03:49:00Z</dcterms:modified>
</cp:coreProperties>
</file>